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11cda879977f7a1a308a6309be61235b12c5555"/>
    <w:p>
      <w:pPr>
        <w:pStyle w:val="Heading1"/>
      </w:pPr>
      <w:r>
        <w:t xml:space="preserve">GOLD MINE 12 – 12 MONTH ROADMAP TO A PUBLIC LISTING</w:t>
      </w:r>
    </w:p>
    <w:bookmarkStart w:id="20" w:name="simple-explanation-of-the-plan"/>
    <w:p>
      <w:pPr>
        <w:pStyle w:val="Heading2"/>
      </w:pPr>
      <w:r>
        <w:t xml:space="preserve">SIMPLE EXPLANATION OF THE PLAN</w:t>
      </w:r>
    </w:p>
    <w:p>
      <w:pPr>
        <w:pStyle w:val="FirstParagraph"/>
      </w:pPr>
      <w:r>
        <w:t xml:space="preserve">The goal is simple:</w:t>
      </w:r>
    </w:p>
    <w:p>
      <w:pPr>
        <w:pStyle w:val="Compact"/>
        <w:numPr>
          <w:ilvl w:val="0"/>
          <w:numId w:val="1001"/>
        </w:numPr>
      </w:pPr>
      <w:r>
        <w:t xml:space="preserve">Secure an agreement with the Landowners.</w:t>
      </w:r>
    </w:p>
    <w:p>
      <w:pPr>
        <w:pStyle w:val="Compact"/>
        <w:numPr>
          <w:ilvl w:val="0"/>
          <w:numId w:val="1001"/>
        </w:numPr>
      </w:pPr>
      <w:r>
        <w:t xml:space="preserve">Secure an agreement with Cambridge Group PLC.</w:t>
      </w:r>
    </w:p>
    <w:p>
      <w:pPr>
        <w:pStyle w:val="Compact"/>
        <w:numPr>
          <w:ilvl w:val="0"/>
          <w:numId w:val="1001"/>
        </w:numPr>
      </w:pPr>
      <w:r>
        <w:t xml:space="preserve">Raise initial capital.</w:t>
      </w:r>
    </w:p>
    <w:p>
      <w:pPr>
        <w:pStyle w:val="Compact"/>
        <w:numPr>
          <w:ilvl w:val="0"/>
          <w:numId w:val="1001"/>
        </w:numPr>
      </w:pPr>
      <w:r>
        <w:t xml:space="preserve">Complete professional geological and technical studies.</w:t>
      </w:r>
    </w:p>
    <w:p>
      <w:pPr>
        <w:pStyle w:val="Compact"/>
        <w:numPr>
          <w:ilvl w:val="0"/>
          <w:numId w:val="1001"/>
        </w:numPr>
      </w:pPr>
      <w:r>
        <w:t xml:space="preserve">Build a strong mining company.</w:t>
      </w:r>
    </w:p>
    <w:p>
      <w:pPr>
        <w:pStyle w:val="Compact"/>
        <w:numPr>
          <w:ilvl w:val="0"/>
          <w:numId w:val="1001"/>
        </w:numPr>
      </w:pPr>
      <w:r>
        <w:t xml:space="preserve">Obtain an independent valuation.</w:t>
      </w:r>
    </w:p>
    <w:p>
      <w:pPr>
        <w:pStyle w:val="Compact"/>
        <w:numPr>
          <w:ilvl w:val="0"/>
          <w:numId w:val="1001"/>
        </w:numPr>
      </w:pPr>
      <w:r>
        <w:t xml:space="preserve">List the company on a stock exchange.</w:t>
      </w:r>
    </w:p>
    <w:p>
      <w:pPr>
        <w:pStyle w:val="Compact"/>
        <w:numPr>
          <w:ilvl w:val="0"/>
          <w:numId w:val="1001"/>
        </w:numPr>
      </w:pPr>
      <w:r>
        <w:t xml:space="preserve">Raise larger amounts of capital.</w:t>
      </w:r>
    </w:p>
    <w:p>
      <w:pPr>
        <w:pStyle w:val="Compact"/>
        <w:numPr>
          <w:ilvl w:val="0"/>
          <w:numId w:val="1001"/>
        </w:numPr>
      </w:pPr>
      <w:r>
        <w:t xml:space="preserve">Begin mine development and production.</w:t>
      </w:r>
    </w:p>
    <w:p>
      <w:pPr>
        <w:pStyle w:val="Compact"/>
        <w:numPr>
          <w:ilvl w:val="0"/>
          <w:numId w:val="1001"/>
        </w:numPr>
      </w:pPr>
      <w:r>
        <w:t xml:space="preserve">Give all shareholders a liquid market for their shares.</w:t>
      </w:r>
    </w:p>
    <w:p>
      <w:pPr>
        <w:pStyle w:val="FirstParagraph"/>
      </w:pPr>
      <w:r>
        <w:t xml:space="preserve">The long-term objective is to transform Gold Mine 12 into a publicly listed mining company with access to international investors and capital markets.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4" w:name="phase-1"/>
    <w:p>
      <w:pPr>
        <w:pStyle w:val="Heading1"/>
      </w:pPr>
      <w:r>
        <w:t xml:space="preserve">PHASE 1</w:t>
      </w:r>
    </w:p>
    <w:bookmarkStart w:id="23" w:name="week-1"/>
    <w:p>
      <w:pPr>
        <w:pStyle w:val="Heading2"/>
      </w:pPr>
      <w:r>
        <w:t xml:space="preserve">WEEK 1</w:t>
      </w:r>
    </w:p>
    <w:bookmarkStart w:id="22" w:name="sign-agreement-with-landowners"/>
    <w:p>
      <w:pPr>
        <w:pStyle w:val="Heading3"/>
      </w:pPr>
      <w:r>
        <w:t xml:space="preserve">SIGN AGREEMENT WITH LANDOWNERS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Secure the signed Master Lease and Development Agreement.</w:t>
      </w:r>
    </w:p>
    <w:p>
      <w:pPr>
        <w:pStyle w:val="BodyText"/>
      </w:pPr>
      <w:r>
        <w:t xml:space="preserve">Deliverables:</w:t>
      </w:r>
    </w:p>
    <w:p>
      <w:pPr>
        <w:pStyle w:val="BodyText"/>
      </w:pPr>
      <w:r>
        <w:t xml:space="preserve">• Signed agreement.</w:t>
      </w:r>
      <w:r>
        <w:t xml:space="preserve"> </w:t>
      </w:r>
      <w:r>
        <w:t xml:space="preserve">• Confirmation of mining rights.</w:t>
      </w:r>
      <w:r>
        <w:t xml:space="preserve"> </w:t>
      </w:r>
      <w:r>
        <w:t xml:space="preserve">• Confirmation of concession ownership.</w:t>
      </w:r>
      <w:r>
        <w:t xml:space="preserve"> </w:t>
      </w:r>
      <w:r>
        <w:t xml:space="preserve">• Collection of all available geological reports.</w:t>
      </w:r>
      <w:r>
        <w:t xml:space="preserve"> </w:t>
      </w:r>
      <w:r>
        <w:t xml:space="preserve">• Collection of maps and concession documentation.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The project is secured and ready to be presented internationally.</w:t>
      </w:r>
    </w:p>
    <w:p>
      <w:r>
        <w:pict>
          <v:rect style="width:0;height:1.5pt" o:hralign="center" o:hrstd="t" o:hr="t"/>
        </w:pict>
      </w:r>
    </w:p>
    <w:bookmarkEnd w:id="22"/>
    <w:bookmarkEnd w:id="23"/>
    <w:bookmarkEnd w:id="24"/>
    <w:bookmarkStart w:id="27" w:name="phase-2"/>
    <w:p>
      <w:pPr>
        <w:pStyle w:val="Heading1"/>
      </w:pPr>
      <w:r>
        <w:t xml:space="preserve">PHASE 2</w:t>
      </w:r>
    </w:p>
    <w:bookmarkStart w:id="26" w:name="weeks-212"/>
    <w:p>
      <w:pPr>
        <w:pStyle w:val="Heading2"/>
      </w:pPr>
      <w:r>
        <w:t xml:space="preserve">WEEKS 2–12</w:t>
      </w:r>
    </w:p>
    <w:bookmarkStart w:id="25" w:name="negotiate-with-cambridge-group-plc"/>
    <w:p>
      <w:pPr>
        <w:pStyle w:val="Heading3"/>
      </w:pPr>
      <w:r>
        <w:t xml:space="preserve">NEGOTIATE WITH CAMBRIDGE GROUP PLC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Secure an LOI, Heads of Terms or Transaction Agreement with Cambridge Group PLC.</w:t>
      </w:r>
    </w:p>
    <w:p>
      <w:pPr>
        <w:pStyle w:val="BodyText"/>
      </w:pPr>
      <w:r>
        <w:t xml:space="preserve">Actions:</w:t>
      </w:r>
    </w:p>
    <w:p>
      <w:pPr>
        <w:pStyle w:val="BodyText"/>
      </w:pPr>
      <w:r>
        <w:t xml:space="preserve">• Present project.</w:t>
      </w:r>
      <w:r>
        <w:t xml:space="preserve"> </w:t>
      </w:r>
      <w:r>
        <w:t xml:space="preserve">• Present mining opportunity.</w:t>
      </w:r>
      <w:r>
        <w:t xml:space="preserve"> </w:t>
      </w:r>
      <w:r>
        <w:t xml:space="preserve">• Hold meetings with management.</w:t>
      </w:r>
      <w:r>
        <w:t xml:space="preserve"> </w:t>
      </w:r>
      <w:r>
        <w:t xml:space="preserve">• Hold meetings with advisors.</w:t>
      </w:r>
      <w:r>
        <w:t xml:space="preserve"> </w:t>
      </w:r>
      <w:r>
        <w:t xml:space="preserve">• Present valuation potential.</w:t>
      </w:r>
      <w:r>
        <w:t xml:space="preserve"> </w:t>
      </w:r>
      <w:r>
        <w:t xml:space="preserve">• Present stock market strategy.</w:t>
      </w:r>
    </w:p>
    <w:p>
      <w:pPr>
        <w:pStyle w:val="BodyText"/>
      </w:pPr>
      <w:r>
        <w:t xml:space="preserve">Target Outcome:</w:t>
      </w:r>
    </w:p>
    <w:p>
      <w:pPr>
        <w:pStyle w:val="BodyText"/>
      </w:pPr>
      <w:r>
        <w:t xml:space="preserve">Signed LOI or Heads of Terms.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The project enters the public market development phase.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End w:id="27"/>
    <w:bookmarkStart w:id="30" w:name="phase-3"/>
    <w:p>
      <w:pPr>
        <w:pStyle w:val="Heading1"/>
      </w:pPr>
      <w:r>
        <w:t xml:space="preserve">PHASE 3</w:t>
      </w:r>
    </w:p>
    <w:bookmarkStart w:id="29" w:name="months-34"/>
    <w:p>
      <w:pPr>
        <w:pStyle w:val="Heading2"/>
      </w:pPr>
      <w:r>
        <w:t xml:space="preserve">MONTHS 3–4</w:t>
      </w:r>
    </w:p>
    <w:bookmarkStart w:id="28" w:name="build-professional-team"/>
    <w:p>
      <w:pPr>
        <w:pStyle w:val="Heading3"/>
      </w:pPr>
      <w:r>
        <w:t xml:space="preserve">BUILD PROFESSIONAL TEAM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Bring world-class advisors into the project.</w:t>
      </w:r>
    </w:p>
    <w:p>
      <w:pPr>
        <w:pStyle w:val="BodyText"/>
      </w:pPr>
      <w:r>
        <w:t xml:space="preserve">Team Members:</w:t>
      </w:r>
    </w:p>
    <w:p>
      <w:pPr>
        <w:pStyle w:val="BodyText"/>
      </w:pPr>
      <w:r>
        <w:t xml:space="preserve">• Mining Consultants</w:t>
      </w:r>
      <w:r>
        <w:t xml:space="preserve"> </w:t>
      </w:r>
      <w:r>
        <w:t xml:space="preserve">• Geologists</w:t>
      </w:r>
      <w:r>
        <w:t xml:space="preserve"> </w:t>
      </w:r>
      <w:r>
        <w:t xml:space="preserve">• Mining Engineers</w:t>
      </w:r>
      <w:r>
        <w:t xml:space="preserve"> </w:t>
      </w:r>
      <w:r>
        <w:t xml:space="preserve">• Corporate Lawyers</w:t>
      </w:r>
      <w:r>
        <w:t xml:space="preserve"> </w:t>
      </w:r>
      <w:r>
        <w:t xml:space="preserve">• Public Market Lawyers</w:t>
      </w:r>
      <w:r>
        <w:t xml:space="preserve"> </w:t>
      </w:r>
      <w:r>
        <w:t xml:space="preserve">• Investment Bankers</w:t>
      </w:r>
      <w:r>
        <w:t xml:space="preserve"> </w:t>
      </w:r>
      <w:r>
        <w:t xml:space="preserve">• Financial Advisors</w:t>
      </w:r>
      <w:r>
        <w:t xml:space="preserve"> </w:t>
      </w:r>
      <w:r>
        <w:t xml:space="preserve">• Auditors</w:t>
      </w:r>
      <w:r>
        <w:t xml:space="preserve"> </w:t>
      </w:r>
      <w:r>
        <w:t xml:space="preserve">• Valuation Specialists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The project gains credibility and institutional support.</w:t>
      </w:r>
    </w:p>
    <w:p>
      <w:r>
        <w:pict>
          <v:rect style="width:0;height:1.5pt" o:hralign="center" o:hrstd="t" o:hr="t"/>
        </w:pict>
      </w:r>
    </w:p>
    <w:bookmarkEnd w:id="28"/>
    <w:bookmarkEnd w:id="29"/>
    <w:bookmarkEnd w:id="30"/>
    <w:bookmarkStart w:id="33" w:name="phase-4"/>
    <w:p>
      <w:pPr>
        <w:pStyle w:val="Heading1"/>
      </w:pPr>
      <w:r>
        <w:t xml:space="preserve">PHASE 4</w:t>
      </w:r>
    </w:p>
    <w:bookmarkStart w:id="32" w:name="months-36"/>
    <w:p>
      <w:pPr>
        <w:pStyle w:val="Heading2"/>
      </w:pPr>
      <w:r>
        <w:t xml:space="preserve">MONTHS 3–6</w:t>
      </w:r>
    </w:p>
    <w:bookmarkStart w:id="31" w:name="initial-fundraising"/>
    <w:p>
      <w:pPr>
        <w:pStyle w:val="Heading3"/>
      </w:pPr>
      <w:r>
        <w:t xml:space="preserve">INITIAL FUNDRAISING</w:t>
      </w:r>
    </w:p>
    <w:p>
      <w:pPr>
        <w:pStyle w:val="FirstParagraph"/>
      </w:pPr>
      <w:r>
        <w:t xml:space="preserve">Target Raise:</w:t>
      </w:r>
    </w:p>
    <w:p>
      <w:pPr>
        <w:pStyle w:val="BodyText"/>
      </w:pPr>
      <w:r>
        <w:t xml:space="preserve">USD $200,000 – $1,000,000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Fund the next phase.</w:t>
      </w:r>
    </w:p>
    <w:p>
      <w:pPr>
        <w:pStyle w:val="BodyText"/>
      </w:pPr>
      <w:r>
        <w:t xml:space="preserve">Use of Funds:</w:t>
      </w:r>
    </w:p>
    <w:p>
      <w:pPr>
        <w:pStyle w:val="BodyText"/>
      </w:pPr>
      <w:r>
        <w:t xml:space="preserve">• Geological reviews</w:t>
      </w:r>
      <w:r>
        <w:t xml:space="preserve"> </w:t>
      </w:r>
      <w:r>
        <w:t xml:space="preserve">• Legal work</w:t>
      </w:r>
      <w:r>
        <w:t xml:space="preserve"> </w:t>
      </w:r>
      <w:r>
        <w:t xml:space="preserve">• Technical reports</w:t>
      </w:r>
      <w:r>
        <w:t xml:space="preserve"> </w:t>
      </w:r>
      <w:r>
        <w:t xml:space="preserve">• Corporate structuring</w:t>
      </w:r>
      <w:r>
        <w:t xml:space="preserve"> </w:t>
      </w:r>
      <w:r>
        <w:t xml:space="preserve">• Due diligence</w:t>
      </w:r>
      <w:r>
        <w:t xml:space="preserve"> </w:t>
      </w:r>
      <w:r>
        <w:t xml:space="preserve">• Regulatory preparation</w:t>
      </w:r>
      <w:r>
        <w:t xml:space="preserve"> </w:t>
      </w:r>
      <w:r>
        <w:t xml:space="preserve">• Listing preparation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Project becomes fully investment-ready.</w:t>
      </w:r>
    </w:p>
    <w:p>
      <w:r>
        <w:pict>
          <v:rect style="width:0;height:1.5pt" o:hralign="center" o:hrstd="t" o:hr="t"/>
        </w:pict>
      </w:r>
    </w:p>
    <w:bookmarkEnd w:id="31"/>
    <w:bookmarkEnd w:id="32"/>
    <w:bookmarkEnd w:id="33"/>
    <w:bookmarkStart w:id="36" w:name="phase-5"/>
    <w:p>
      <w:pPr>
        <w:pStyle w:val="Heading1"/>
      </w:pPr>
      <w:r>
        <w:t xml:space="preserve">PHASE 5</w:t>
      </w:r>
    </w:p>
    <w:bookmarkStart w:id="35" w:name="months-48"/>
    <w:p>
      <w:pPr>
        <w:pStyle w:val="Heading2"/>
      </w:pPr>
      <w:r>
        <w:t xml:space="preserve">MONTHS 4–8</w:t>
      </w:r>
    </w:p>
    <w:bookmarkStart w:id="34" w:name="geological-and-technical-program"/>
    <w:p>
      <w:pPr>
        <w:pStyle w:val="Heading3"/>
      </w:pPr>
      <w:r>
        <w:t xml:space="preserve">GEOLOGICAL AND TECHNICAL PROGRAM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Determine the true value of the mining assets.</w:t>
      </w:r>
    </w:p>
    <w:p>
      <w:pPr>
        <w:pStyle w:val="BodyText"/>
      </w:pPr>
      <w:r>
        <w:t xml:space="preserve">Work Includes:</w:t>
      </w:r>
    </w:p>
    <w:p>
      <w:pPr>
        <w:pStyle w:val="BodyText"/>
      </w:pPr>
      <w:r>
        <w:t xml:space="preserve">• Geological review</w:t>
      </w:r>
      <w:r>
        <w:t xml:space="preserve"> </w:t>
      </w:r>
      <w:r>
        <w:t xml:space="preserve">• Resource modelling</w:t>
      </w:r>
      <w:r>
        <w:t xml:space="preserve"> </w:t>
      </w:r>
      <w:r>
        <w:t xml:space="preserve">• Sampling</w:t>
      </w:r>
      <w:r>
        <w:t xml:space="preserve"> </w:t>
      </w:r>
      <w:r>
        <w:t xml:space="preserve">• Additional drilling (if required)</w:t>
      </w:r>
      <w:r>
        <w:t xml:space="preserve"> </w:t>
      </w:r>
      <w:r>
        <w:t xml:space="preserve">• Environmental review</w:t>
      </w:r>
      <w:r>
        <w:t xml:space="preserve"> </w:t>
      </w:r>
      <w:r>
        <w:t xml:space="preserve">• Mining strategy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Professional technical reports.</w:t>
      </w:r>
    </w:p>
    <w:p>
      <w:pPr>
        <w:pStyle w:val="BodyText"/>
      </w:pPr>
      <w:r>
        <w:t xml:space="preserve">This is where the project starts proving its value.</w:t>
      </w:r>
    </w:p>
    <w:p>
      <w:r>
        <w:pict>
          <v:rect style="width:0;height:1.5pt" o:hralign="center" o:hrstd="t" o:hr="t"/>
        </w:pict>
      </w:r>
    </w:p>
    <w:bookmarkEnd w:id="34"/>
    <w:bookmarkEnd w:id="35"/>
    <w:bookmarkEnd w:id="36"/>
    <w:bookmarkStart w:id="39" w:name="phase-6"/>
    <w:p>
      <w:pPr>
        <w:pStyle w:val="Heading1"/>
      </w:pPr>
      <w:r>
        <w:t xml:space="preserve">PHASE 6</w:t>
      </w:r>
    </w:p>
    <w:bookmarkStart w:id="38" w:name="months-69"/>
    <w:p>
      <w:pPr>
        <w:pStyle w:val="Heading2"/>
      </w:pPr>
      <w:r>
        <w:t xml:space="preserve">MONTHS 6–9</w:t>
      </w:r>
    </w:p>
    <w:bookmarkStart w:id="37" w:name="independent-valuation"/>
    <w:p>
      <w:pPr>
        <w:pStyle w:val="Heading3"/>
      </w:pPr>
      <w:r>
        <w:t xml:space="preserve">INDEPENDENT VALUATION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Establish a market value for the project.</w:t>
      </w:r>
    </w:p>
    <w:p>
      <w:pPr>
        <w:pStyle w:val="BodyText"/>
      </w:pPr>
      <w:r>
        <w:t xml:space="preserve">Participants:</w:t>
      </w:r>
    </w:p>
    <w:p>
      <w:pPr>
        <w:pStyle w:val="BodyText"/>
      </w:pPr>
      <w:r>
        <w:t xml:space="preserve">• Valuation Firms</w:t>
      </w:r>
      <w:r>
        <w:t xml:space="preserve"> </w:t>
      </w:r>
      <w:r>
        <w:t xml:space="preserve">• Mining Consultants</w:t>
      </w:r>
      <w:r>
        <w:t xml:space="preserve"> </w:t>
      </w:r>
      <w:r>
        <w:t xml:space="preserve">• Investment Banks</w:t>
      </w:r>
    </w:p>
    <w:p>
      <w:pPr>
        <w:pStyle w:val="BodyText"/>
      </w:pPr>
      <w:r>
        <w:t xml:space="preserve">Deliverables:</w:t>
      </w:r>
    </w:p>
    <w:p>
      <w:pPr>
        <w:pStyle w:val="BodyText"/>
      </w:pPr>
      <w:r>
        <w:t xml:space="preserve">• Independent valuation report</w:t>
      </w:r>
      <w:r>
        <w:t xml:space="preserve"> </w:t>
      </w:r>
      <w:r>
        <w:t xml:space="preserve">• Market analysis</w:t>
      </w:r>
      <w:r>
        <w:t xml:space="preserve"> </w:t>
      </w:r>
      <w:r>
        <w:t xml:space="preserve">• Growth projections</w:t>
      </w:r>
      <w:r>
        <w:t xml:space="preserve"> </w:t>
      </w:r>
      <w:r>
        <w:t xml:space="preserve">• IPO strategy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The market can understand the potential value of Gold Mine 12.</w:t>
      </w:r>
    </w:p>
    <w:p>
      <w:r>
        <w:pict>
          <v:rect style="width:0;height:1.5pt" o:hralign="center" o:hrstd="t" o:hr="t"/>
        </w:pict>
      </w:r>
    </w:p>
    <w:bookmarkEnd w:id="37"/>
    <w:bookmarkEnd w:id="38"/>
    <w:bookmarkEnd w:id="39"/>
    <w:bookmarkStart w:id="42" w:name="phase-7"/>
    <w:p>
      <w:pPr>
        <w:pStyle w:val="Heading1"/>
      </w:pPr>
      <w:r>
        <w:t xml:space="preserve">PHASE 7</w:t>
      </w:r>
    </w:p>
    <w:bookmarkStart w:id="41" w:name="months-810"/>
    <w:p>
      <w:pPr>
        <w:pStyle w:val="Heading2"/>
      </w:pPr>
      <w:r>
        <w:t xml:space="preserve">MONTHS 8–10</w:t>
      </w:r>
    </w:p>
    <w:bookmarkStart w:id="40" w:name="corporate-structuring"/>
    <w:p>
      <w:pPr>
        <w:pStyle w:val="Heading3"/>
      </w:pPr>
      <w:r>
        <w:t xml:space="preserve">CORPORATE STRUCTURING</w:t>
      </w:r>
    </w:p>
    <w:p>
      <w:pPr>
        <w:pStyle w:val="FirstParagraph"/>
      </w:pPr>
      <w:r>
        <w:t xml:space="preserve">Objective:</w:t>
      </w:r>
    </w:p>
    <w:p>
      <w:pPr>
        <w:pStyle w:val="BodyText"/>
      </w:pPr>
      <w:r>
        <w:t xml:space="preserve">Prepare the company for public markets.</w:t>
      </w:r>
    </w:p>
    <w:p>
      <w:pPr>
        <w:pStyle w:val="BodyText"/>
      </w:pPr>
      <w:r>
        <w:t xml:space="preserve">Actions:</w:t>
      </w:r>
    </w:p>
    <w:p>
      <w:pPr>
        <w:pStyle w:val="BodyText"/>
      </w:pPr>
      <w:r>
        <w:t xml:space="preserve">• Create SPV structure.</w:t>
      </w:r>
      <w:r>
        <w:t xml:space="preserve"> </w:t>
      </w:r>
      <w:r>
        <w:t xml:space="preserve">• Finalize ownership structure.</w:t>
      </w:r>
      <w:r>
        <w:t xml:space="preserve"> </w:t>
      </w:r>
      <w:r>
        <w:t xml:space="preserve">• Confirm 70/30 shareholding arrangement.</w:t>
      </w:r>
      <w:r>
        <w:t xml:space="preserve"> </w:t>
      </w:r>
      <w:r>
        <w:t xml:space="preserve">• Prepare governance structure.</w:t>
      </w:r>
      <w:r>
        <w:t xml:space="preserve"> </w:t>
      </w:r>
      <w:r>
        <w:t xml:space="preserve">• Build Board of Directors.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Institutional investors can participate.</w:t>
      </w:r>
    </w:p>
    <w:p>
      <w:r>
        <w:pict>
          <v:rect style="width:0;height:1.5pt" o:hralign="center" o:hrstd="t" o:hr="t"/>
        </w:pict>
      </w:r>
    </w:p>
    <w:bookmarkEnd w:id="40"/>
    <w:bookmarkEnd w:id="41"/>
    <w:bookmarkEnd w:id="42"/>
    <w:bookmarkStart w:id="45" w:name="phase-8"/>
    <w:p>
      <w:pPr>
        <w:pStyle w:val="Heading1"/>
      </w:pPr>
      <w:r>
        <w:t xml:space="preserve">PHASE 8</w:t>
      </w:r>
    </w:p>
    <w:bookmarkStart w:id="44" w:name="months-1012"/>
    <w:p>
      <w:pPr>
        <w:pStyle w:val="Heading2"/>
      </w:pPr>
      <w:r>
        <w:t xml:space="preserve">MONTHS 10–12</w:t>
      </w:r>
    </w:p>
    <w:bookmarkStart w:id="43" w:name="stock-market-preparation"/>
    <w:p>
      <w:pPr>
        <w:pStyle w:val="Heading3"/>
      </w:pPr>
      <w:r>
        <w:t xml:space="preserve">STOCK MARKET PREPARATION</w:t>
      </w:r>
    </w:p>
    <w:p>
      <w:pPr>
        <w:pStyle w:val="FirstParagraph"/>
      </w:pPr>
      <w:r>
        <w:t xml:space="preserve">Option A:</w:t>
      </w:r>
    </w:p>
    <w:p>
      <w:pPr>
        <w:pStyle w:val="BodyText"/>
      </w:pPr>
      <w:r>
        <w:t xml:space="preserve">AIM Market (London)</w:t>
      </w:r>
    </w:p>
    <w:p>
      <w:pPr>
        <w:pStyle w:val="BodyText"/>
      </w:pPr>
      <w:r>
        <w:t xml:space="preserve">Option B:</w:t>
      </w:r>
    </w:p>
    <w:p>
      <w:pPr>
        <w:pStyle w:val="BodyText"/>
      </w:pPr>
      <w:r>
        <w:t xml:space="preserve">Main Market (London Stock Exchange)</w:t>
      </w:r>
    </w:p>
    <w:p>
      <w:pPr>
        <w:pStyle w:val="BodyText"/>
      </w:pPr>
      <w:r>
        <w:t xml:space="preserve">Advisors prepare:</w:t>
      </w:r>
    </w:p>
    <w:p>
      <w:pPr>
        <w:pStyle w:val="BodyText"/>
      </w:pPr>
      <w:r>
        <w:t xml:space="preserve">• Prospectus</w:t>
      </w:r>
      <w:r>
        <w:t xml:space="preserve"> </w:t>
      </w:r>
      <w:r>
        <w:t xml:space="preserve">• Admission documents</w:t>
      </w:r>
      <w:r>
        <w:t xml:space="preserve"> </w:t>
      </w:r>
      <w:r>
        <w:t xml:space="preserve">• Financial reports</w:t>
      </w:r>
      <w:r>
        <w:t xml:space="preserve"> </w:t>
      </w:r>
      <w:r>
        <w:t xml:space="preserve">• Legal due diligence</w:t>
      </w:r>
      <w:r>
        <w:t xml:space="preserve"> </w:t>
      </w:r>
      <w:r>
        <w:t xml:space="preserve">• Corporate governance</w:t>
      </w:r>
    </w:p>
    <w:p>
      <w:pPr>
        <w:pStyle w:val="BodyText"/>
      </w:pPr>
      <w:r>
        <w:t xml:space="preserve">Result:</w:t>
      </w:r>
    </w:p>
    <w:p>
      <w:pPr>
        <w:pStyle w:val="BodyText"/>
      </w:pPr>
      <w:r>
        <w:t xml:space="preserve">Company becomes ready for public listing.</w:t>
      </w:r>
    </w:p>
    <w:p>
      <w:r>
        <w:pict>
          <v:rect style="width:0;height:1.5pt" o:hralign="center" o:hrstd="t" o:hr="t"/>
        </w:pict>
      </w:r>
    </w:p>
    <w:bookmarkEnd w:id="43"/>
    <w:bookmarkEnd w:id="44"/>
    <w:bookmarkEnd w:id="45"/>
    <w:bookmarkStart w:id="46" w:name="why-a-public-listing-is-important"/>
    <w:p>
      <w:pPr>
        <w:pStyle w:val="Heading1"/>
      </w:pPr>
      <w:r>
        <w:t xml:space="preserve">WHY A PUBLIC LISTING IS IMPORTANT</w:t>
      </w:r>
    </w:p>
    <w:p>
      <w:pPr>
        <w:pStyle w:val="FirstParagraph"/>
      </w:pPr>
      <w:r>
        <w:t xml:space="preserve">Before listing:</w:t>
      </w:r>
    </w:p>
    <w:p>
      <w:pPr>
        <w:pStyle w:val="BodyText"/>
      </w:pPr>
      <w:r>
        <w:t xml:space="preserve">A shareholder owns a private asset.</w:t>
      </w:r>
    </w:p>
    <w:p>
      <w:pPr>
        <w:pStyle w:val="BodyText"/>
      </w:pPr>
      <w:r>
        <w:t xml:space="preserve">After listing:</w:t>
      </w:r>
    </w:p>
    <w:p>
      <w:pPr>
        <w:pStyle w:val="BodyText"/>
      </w:pPr>
      <w:r>
        <w:t xml:space="preserve">A shareholder owns shares that can potentially be bought and sold on a public market.</w:t>
      </w:r>
    </w:p>
    <w:p>
      <w:pPr>
        <w:pStyle w:val="BodyText"/>
      </w:pPr>
      <w:r>
        <w:t xml:space="preserve">Benefits:</w:t>
      </w:r>
    </w:p>
    <w:p>
      <w:pPr>
        <w:pStyle w:val="BodyText"/>
      </w:pPr>
      <w:r>
        <w:t xml:space="preserve">• Greater transparency.</w:t>
      </w:r>
      <w:r>
        <w:t xml:space="preserve"> </w:t>
      </w:r>
      <w:r>
        <w:t xml:space="preserve">• Independent valuation.</w:t>
      </w:r>
      <w:r>
        <w:t xml:space="preserve"> </w:t>
      </w:r>
      <w:r>
        <w:t xml:space="preserve">• Access to investors.</w:t>
      </w:r>
      <w:r>
        <w:t xml:space="preserve"> </w:t>
      </w:r>
      <w:r>
        <w:t xml:space="preserve">• Ability to raise capital.</w:t>
      </w:r>
      <w:r>
        <w:t xml:space="preserve"> </w:t>
      </w:r>
      <w:r>
        <w:t xml:space="preserve">• Potential liquidity for shareholders.</w:t>
      </w:r>
    </w:p>
    <w:p>
      <w:r>
        <w:pict>
          <v:rect style="width:0;height:1.5pt" o:hralign="center" o:hrstd="t" o:hr="t"/>
        </w:pict>
      </w:r>
    </w:p>
    <w:bookmarkEnd w:id="46"/>
    <w:bookmarkStart w:id="47" w:name="benefits-for-landowners"/>
    <w:p>
      <w:pPr>
        <w:pStyle w:val="Heading1"/>
      </w:pPr>
      <w:r>
        <w:t xml:space="preserve">BENEFITS FOR LANDOWNERS</w:t>
      </w:r>
    </w:p>
    <w:p>
      <w:pPr>
        <w:pStyle w:val="FirstParagraph"/>
      </w:pPr>
      <w:r>
        <w:t xml:space="preserve">The Landowners keep their ownership position.</w:t>
      </w:r>
    </w:p>
    <w:p>
      <w:pPr>
        <w:pStyle w:val="BodyText"/>
      </w:pPr>
      <w:r>
        <w:t xml:space="preserve">The listing provides:</w:t>
      </w:r>
    </w:p>
    <w:p>
      <w:pPr>
        <w:pStyle w:val="BodyText"/>
      </w:pPr>
      <w:r>
        <w:t xml:space="preserve">• Independent valuation.</w:t>
      </w:r>
      <w:r>
        <w:t xml:space="preserve"> </w:t>
      </w:r>
      <w:r>
        <w:t xml:space="preserve">• Public market visibility.</w:t>
      </w:r>
      <w:r>
        <w:t xml:space="preserve"> </w:t>
      </w:r>
      <w:r>
        <w:t xml:space="preserve">• Access to international investors.</w:t>
      </w:r>
      <w:r>
        <w:t xml:space="preserve"> </w:t>
      </w:r>
      <w:r>
        <w:t xml:space="preserve">• Potential liquidity.</w:t>
      </w:r>
    </w:p>
    <w:p>
      <w:pPr>
        <w:pStyle w:val="BodyText"/>
      </w:pPr>
      <w:r>
        <w:t xml:space="preserve">If a shareholder wishes to sell:</w:t>
      </w:r>
    </w:p>
    <w:p>
      <w:pPr>
        <w:pStyle w:val="BodyText"/>
      </w:pPr>
      <w:r>
        <w:t xml:space="preserve">They may choose to sell some or all of their shares once a market exists.</w:t>
      </w:r>
    </w:p>
    <w:p>
      <w:pPr>
        <w:pStyle w:val="BodyText"/>
      </w:pPr>
      <w:r>
        <w:t xml:space="preserve">If a shareholder believes the project will become much larger:</w:t>
      </w:r>
    </w:p>
    <w:p>
      <w:pPr>
        <w:pStyle w:val="BodyText"/>
      </w:pPr>
      <w:r>
        <w:t xml:space="preserve">They may continue holding their shares for future growth.</w:t>
      </w:r>
    </w:p>
    <w:p>
      <w:pPr>
        <w:pStyle w:val="BodyText"/>
      </w:pPr>
      <w:r>
        <w:t xml:space="preserve">The decision remains entirely with each shareholder.</w:t>
      </w:r>
    </w:p>
    <w:p>
      <w:r>
        <w:pict>
          <v:rect style="width:0;height:1.5pt" o:hralign="center" o:hrstd="t" o:hr="t"/>
        </w:pict>
      </w:r>
    </w:p>
    <w:bookmarkEnd w:id="47"/>
    <w:bookmarkStart w:id="48" w:name="long-term-vision"/>
    <w:p>
      <w:pPr>
        <w:pStyle w:val="Heading1"/>
      </w:pPr>
      <w:r>
        <w:t xml:space="preserve">LONG-TERM VISION</w:t>
      </w:r>
    </w:p>
    <w:p>
      <w:pPr>
        <w:pStyle w:val="FirstParagraph"/>
      </w:pPr>
      <w:r>
        <w:t xml:space="preserve">Year 1:</w:t>
      </w:r>
      <w:r>
        <w:t xml:space="preserve"> </w:t>
      </w:r>
      <w:r>
        <w:t xml:space="preserve">Secure agreements and complete studies.</w:t>
      </w:r>
    </w:p>
    <w:p>
      <w:pPr>
        <w:pStyle w:val="BodyText"/>
      </w:pPr>
      <w:r>
        <w:t xml:space="preserve">Year 2:</w:t>
      </w:r>
      <w:r>
        <w:t xml:space="preserve"> </w:t>
      </w:r>
      <w:r>
        <w:t xml:space="preserve">Raise larger capital and begin mine development.</w:t>
      </w:r>
    </w:p>
    <w:p>
      <w:pPr>
        <w:pStyle w:val="BodyText"/>
      </w:pPr>
      <w:r>
        <w:t xml:space="preserve">Year 3:</w:t>
      </w:r>
      <w:r>
        <w:t xml:space="preserve"> </w:t>
      </w:r>
      <w:r>
        <w:t xml:space="preserve">Advance toward commercial mining operations.</w:t>
      </w:r>
    </w:p>
    <w:p>
      <w:pPr>
        <w:pStyle w:val="BodyText"/>
      </w:pPr>
      <w:r>
        <w:t xml:space="preserve">Year 4–5:</w:t>
      </w:r>
      <w:r>
        <w:t xml:space="preserve"> </w:t>
      </w:r>
      <w:r>
        <w:t xml:space="preserve">Build a significant international gold mining company.</w:t>
      </w:r>
    </w:p>
    <w:p>
      <w:pPr>
        <w:pStyle w:val="BodyText"/>
      </w:pPr>
      <w:r>
        <w:t xml:space="preserve">Ultimate Goal:</w:t>
      </w:r>
    </w:p>
    <w:p>
      <w:pPr>
        <w:pStyle w:val="BodyText"/>
      </w:pPr>
      <w:r>
        <w:t xml:space="preserve">Create a valuable public company that unlocks the true value of Gold Mine 12 for all stakeholders while giving shareholders flexibility, transparency and access to global capital markets.</w:t>
      </w:r>
    </w:p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2026-06-10T22:13:09Z</dcterms:created>
  <dcterms:modified xsi:type="dcterms:W3CDTF">2026-06-10T22:13:09Z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